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北越4天    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YN17520468330L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乘小木船进入洞内，海上天坑是一个360度皆为垂直绝壁的封闭海湾，空灵幽闭。湖水清澈见底，水平如镜，从上面俯瞰圆如满月，所以称为海上天坑。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越南段酒店：（越南段酒店2个标准2选1）
                <w:br/>
                下龙酒店3晚参考酒店：（savanna/下龙凤凰/新下龙/THE ONE酒店或同级）
                <w:br/>
                下龙酒店3晚（参考酒店：大宫殿酒店/景帕丁顿或同级）
                <w:br/>
                <w:br/>
                （行程中用房以安排两人间为标准，若出现自然单间时，我社尽量安排三人间或拼房，如酒店无三人间，若客人要求开单间，需要补交单人房差）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1、全程单房差：250元/500元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2025-08-19T12:28:00+08:00</dcterms:created>
  <dcterms:modified xsi:type="dcterms:W3CDTF">2025-08-19T12:28:00+08:00</dcterms:modified>
</cp:coreProperties>
</file>

<file path=docProps/custom.xml><?xml version="1.0" encoding="utf-8"?>
<Properties xmlns="http://schemas.openxmlformats.org/officeDocument/2006/custom-properties" xmlns:vt="http://schemas.openxmlformats.org/officeDocument/2006/docPropsVTypes"/>
</file>