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曼谷自由活动（无车无导游，全天自理）
                <w:br/>
              </w:t>
            </w:r>
          </w:p>
          <w:p>
            <w:pPr>
              <w:pStyle w:val="indent"/>
            </w:pPr>
            <w:r>
              <w:rPr>
                <w:rFonts w:ascii="微软雅黑" w:hAnsi="微软雅黑" w:eastAsia="微软雅黑" w:cs="微软雅黑"/>
                <w:color w:val="000000"/>
                <w:sz w:val="20"/>
                <w:szCs w:val="20"/>
              </w:rPr>
              <w:t xml:space="preserve">
                曼谷自由活动（无车无导游，全天自理）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2、全程6早8正，早餐含于房费内，正餐餐标150泰铢/人(七菜一汤，10人一桌)，团餐不吃不退。如因用餐遇航班时间，餐费自理；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2025-08-19T12:29:09+08:00</dcterms:created>
  <dcterms:modified xsi:type="dcterms:W3CDTF">2025-08-19T12:29:09+08:00</dcterms:modified>
</cp:coreProperties>
</file>

<file path=docProps/custom.xml><?xml version="1.0" encoding="utf-8"?>
<Properties xmlns="http://schemas.openxmlformats.org/officeDocument/2006/custom-properties" xmlns:vt="http://schemas.openxmlformats.org/officeDocument/2006/docPropsVTypes"/>
</file>