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年，是香港九龙有名的胜迹之一，是香港著的庙宇之一，有求必应，在本港及海外享负盛名。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早餐后，游览【渔女像】【情侣路】（游览时间约30分钟）是珠海城市的征，因其风景秀丽、海涛阵阵、空气清新，所以珠海人叫这条路为情侣路。情侣路沿海铺建，曲折蜿蜒，流淌着万种风情。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游览时间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晚珠海酒店（参考酒店：香山里酒店或同档次酒店）；两人一间，每人/床位； 
                <w:br/>
                【用餐】：全程 3 早餐 2正餐（澳门段正餐标准为HKD65元/人；香港段为政府补贴HKD50元/人用餐；不用为自动放弃无费用可退。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2025-06-16T17:20:45+08:00</dcterms:created>
  <dcterms:modified xsi:type="dcterms:W3CDTF">2025-06-16T17:20:45+08:00</dcterms:modified>
</cp:coreProperties>
</file>

<file path=docProps/custom.xml><?xml version="1.0" encoding="utf-8"?>
<Properties xmlns="http://schemas.openxmlformats.org/officeDocument/2006/custom-properties" xmlns:vt="http://schemas.openxmlformats.org/officeDocument/2006/docPropsVTypes"/>
</file>