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J2【日本·夏の约&amp;和风古韵】 日本东京、镰仓（灌篮高手）江之岛电车、富士山、京都宇治、奈良、大阪半自助三古都巡礼半自助八日游行程单</w:t>
      </w:r>
    </w:p>
    <w:p>
      <w:pPr>
        <w:jc w:val="center"/>
        <w:spacing w:after="100"/>
      </w:pPr>
      <w:r>
        <w:rPr>
          <w:rFonts w:ascii="微软雅黑" w:hAnsi="微软雅黑" w:eastAsia="微软雅黑" w:cs="微软雅黑"/>
          <w:sz w:val="20"/>
          <w:szCs w:val="20"/>
        </w:rPr>
        <w:t xml:space="preserve">J2-0609、0616、0620、0623、0627【日本·夏の约&amp;和风古韵】 日本东京、镰仓（灌篮高手）江之岛电车、富士山、京都宇治、奈良、大阪半自助三古都巡礼半自助八日游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RB17484827990k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注：行程上的航班均为参考航班，最终航班时间以司航出票的为准，给您带来不便，请谅解！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2025-06-16T14:49:29+08:00</dcterms:created>
  <dcterms:modified xsi:type="dcterms:W3CDTF">2025-06-16T14:49:29+08:00</dcterms:modified>
</cp:coreProperties>
</file>

<file path=docProps/custom.xml><?xml version="1.0" encoding="utf-8"?>
<Properties xmlns="http://schemas.openxmlformats.org/officeDocument/2006/custom-properties" xmlns:vt="http://schemas.openxmlformats.org/officeDocument/2006/docPropsVTypes"/>
</file>