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涠洲岛3日游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自行前往北海银滩国际码头（具体开船时间以实际出票为准），乘船前往中国年轻的火山岛—涠洲岛，入住酒店。傍晚可自行前往观海上日落，或去市场购买海鲜给餐厅加工享用鲜美海鲜大餐。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北海往返涠洲岛普通餐舱船票，2晚岛上住宿（参考酒店：晓岛时光/观玥/千寻与海/汐美或同级）、上岛门票、岛上行程用车、导游服务20元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景区电瓶车</w:t>
            </w:r>
          </w:p>
        </w:tc>
        <w:tc>
          <w:tcPr/>
          <w:p>
            <w:pPr>
              <w:pStyle w:val="indent"/>
            </w:pPr>
            <w:r>
              <w:rPr>
                <w:rFonts w:ascii="微软雅黑" w:hAnsi="微软雅黑" w:eastAsia="微软雅黑" w:cs="微软雅黑"/>
                <w:color w:val="000000"/>
                <w:sz w:val="20"/>
                <w:szCs w:val="20"/>
              </w:rPr>
              <w:t xml:space="preserve">火山口电瓶车20元/人，天主教堂电瓶车20元/人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2025-08-03T08:13:49+08:00</dcterms:created>
  <dcterms:modified xsi:type="dcterms:W3CDTF">2025-08-03T08:13:49+08:00</dcterms:modified>
</cp:coreProperties>
</file>

<file path=docProps/custom.xml><?xml version="1.0" encoding="utf-8"?>
<Properties xmlns="http://schemas.openxmlformats.org/officeDocument/2006/custom-properties" xmlns:vt="http://schemas.openxmlformats.org/officeDocument/2006/docPropsVTypes"/>
</file>